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1011"/>
      </w:tblGrid>
      <w:tr w:rsidR="00BC6ED0" w14:paraId="6AE06E48" w14:textId="77777777" w:rsidTr="00BC6ED0">
        <w:tc>
          <w:tcPr>
            <w:tcW w:w="2056" w:type="dxa"/>
          </w:tcPr>
          <w:p w14:paraId="1906CBDD" w14:textId="27E1AB1B" w:rsidR="00BC6ED0" w:rsidRDefault="00BC6ED0" w:rsidP="00BC6E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6DE8C7" wp14:editId="62697EE2">
                  <wp:extent cx="967740" cy="645446"/>
                  <wp:effectExtent l="0" t="0" r="3810" b="2540"/>
                  <wp:docPr id="1" name="Picture 1" descr="A picture containing flower, sun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HIGH 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20" cy="65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34C7AA63" w14:textId="656C2C96" w:rsidR="00BC6ED0" w:rsidRDefault="00BC6ED0" w:rsidP="00BC6E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F76CA9" wp14:editId="391A64A6">
                  <wp:extent cx="504825" cy="678779"/>
                  <wp:effectExtent l="0" t="0" r="0" b="762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FL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40" cy="70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D0" w14:paraId="1F428AF7" w14:textId="77777777" w:rsidTr="00BC6ED0">
        <w:tc>
          <w:tcPr>
            <w:tcW w:w="3067" w:type="dxa"/>
            <w:gridSpan w:val="2"/>
          </w:tcPr>
          <w:p w14:paraId="23D78CD5" w14:textId="1DDFB98A" w:rsidR="00BC6ED0" w:rsidRPr="00BC6ED0" w:rsidRDefault="00BC6ED0" w:rsidP="00297A0E">
            <w:pPr>
              <w:jc w:val="both"/>
            </w:pPr>
            <w:r w:rsidRPr="00BC6ED0">
              <w:t>This project is funded by the EU</w:t>
            </w:r>
          </w:p>
        </w:tc>
      </w:tr>
    </w:tbl>
    <w:p w14:paraId="47336ACE" w14:textId="77777777" w:rsidR="00BC6ED0" w:rsidRDefault="00BC6ED0" w:rsidP="00297A0E">
      <w:pPr>
        <w:jc w:val="both"/>
        <w:rPr>
          <w:b/>
          <w:bCs/>
        </w:rPr>
      </w:pPr>
    </w:p>
    <w:p w14:paraId="0351EF8D" w14:textId="77777777" w:rsidR="00BC6ED0" w:rsidRDefault="00BC6ED0" w:rsidP="00297A0E">
      <w:pPr>
        <w:jc w:val="both"/>
        <w:rPr>
          <w:b/>
          <w:bCs/>
        </w:rPr>
      </w:pPr>
    </w:p>
    <w:p w14:paraId="5F4D520C" w14:textId="2C3CCC76" w:rsidR="00BC6ED0" w:rsidRDefault="00BC6ED0" w:rsidP="00297A0E">
      <w:pPr>
        <w:jc w:val="both"/>
        <w:rPr>
          <w:b/>
          <w:bCs/>
        </w:rPr>
      </w:pPr>
      <w:r>
        <w:rPr>
          <w:b/>
          <w:bCs/>
        </w:rPr>
        <w:t xml:space="preserve">Terms of reference. Consultancy services to support FTAO’s advocacy </w:t>
      </w:r>
      <w:r w:rsidR="0083793F">
        <w:rPr>
          <w:b/>
          <w:bCs/>
        </w:rPr>
        <w:t xml:space="preserve">at EU level: coaching </w:t>
      </w:r>
      <w:r w:rsidR="00752A2C">
        <w:rPr>
          <w:b/>
          <w:bCs/>
        </w:rPr>
        <w:t>and capacity building on the dynamics of EU institutions and advocacy strategy</w:t>
      </w:r>
    </w:p>
    <w:p w14:paraId="6225EC46" w14:textId="63E612F8" w:rsidR="00F664C5" w:rsidRDefault="00F664C5" w:rsidP="00297A0E">
      <w:pPr>
        <w:jc w:val="both"/>
        <w:rPr>
          <w:b/>
          <w:bCs/>
        </w:rPr>
      </w:pPr>
    </w:p>
    <w:p w14:paraId="0C729042" w14:textId="0F2BD1D0" w:rsidR="00F664C5" w:rsidRDefault="00F664C5" w:rsidP="00297A0E">
      <w:pPr>
        <w:jc w:val="both"/>
        <w:rPr>
          <w:b/>
          <w:bCs/>
        </w:rPr>
      </w:pPr>
      <w:r>
        <w:rPr>
          <w:b/>
          <w:bCs/>
        </w:rPr>
        <w:t>Beneficiary of the consultancy</w:t>
      </w:r>
    </w:p>
    <w:p w14:paraId="33C01F7B" w14:textId="776992C6" w:rsidR="004E3A7D" w:rsidRDefault="004E3A7D" w:rsidP="00297A0E">
      <w:pPr>
        <w:jc w:val="both"/>
      </w:pPr>
      <w:r w:rsidRPr="004E3A7D">
        <w:t xml:space="preserve">The </w:t>
      </w:r>
      <w:proofErr w:type="gramStart"/>
      <w:r w:rsidRPr="004E3A7D">
        <w:t>Fair Trade</w:t>
      </w:r>
      <w:proofErr w:type="gramEnd"/>
      <w:r w:rsidRPr="004E3A7D">
        <w:t xml:space="preserve"> Advocacy Office (FTAO) is a joint initiative of Fairtrade International, the World Fair Trade Organization and the World Fair Trade Organization-Europe. The FTAO leads the </w:t>
      </w:r>
      <w:proofErr w:type="gramStart"/>
      <w:r w:rsidRPr="004E3A7D">
        <w:t>Fair Trade</w:t>
      </w:r>
      <w:proofErr w:type="gramEnd"/>
      <w:r w:rsidRPr="004E3A7D">
        <w:t xml:space="preserve"> movement political advocacy at European Union level and contributes to the strengthening of the political advocacy capacities of the global Fair Trade movement</w:t>
      </w:r>
      <w:r>
        <w:t>.</w:t>
      </w:r>
    </w:p>
    <w:p w14:paraId="2830BA7B" w14:textId="77777777" w:rsidR="00752A2C" w:rsidRDefault="00752A2C" w:rsidP="00297A0E">
      <w:pPr>
        <w:jc w:val="both"/>
      </w:pPr>
    </w:p>
    <w:p w14:paraId="2150DC98" w14:textId="03ADF539" w:rsidR="00752A2C" w:rsidRPr="005F6D7F" w:rsidRDefault="00752A2C" w:rsidP="00752A2C">
      <w:pPr>
        <w:jc w:val="both"/>
        <w:rPr>
          <w:b/>
          <w:bCs/>
        </w:rPr>
      </w:pPr>
      <w:r w:rsidRPr="005F6D7F">
        <w:rPr>
          <w:b/>
          <w:bCs/>
        </w:rPr>
        <w:t xml:space="preserve">Overall </w:t>
      </w:r>
      <w:r w:rsidR="001A3AB4">
        <w:rPr>
          <w:b/>
          <w:bCs/>
        </w:rPr>
        <w:t>o</w:t>
      </w:r>
      <w:r w:rsidRPr="005F6D7F">
        <w:rPr>
          <w:b/>
          <w:bCs/>
        </w:rPr>
        <w:t>bjective</w:t>
      </w:r>
    </w:p>
    <w:p w14:paraId="65CAFA69" w14:textId="2431B846" w:rsidR="00752A2C" w:rsidRDefault="00752A2C" w:rsidP="00752A2C">
      <w:pPr>
        <w:jc w:val="both"/>
      </w:pPr>
      <w:r>
        <w:t>The FTAO requires the support of a consultant to be able to identify windows of opportunity and concrete actions that it can undertake</w:t>
      </w:r>
      <w:r w:rsidR="00645931">
        <w:t xml:space="preserve"> </w:t>
      </w:r>
      <w:r>
        <w:t>to reach its objectives</w:t>
      </w:r>
      <w:r w:rsidR="00645931">
        <w:t xml:space="preserve">, and to </w:t>
      </w:r>
      <w:r w:rsidR="00902B15">
        <w:t>plan advocacy activities</w:t>
      </w:r>
      <w:r w:rsidR="00645931">
        <w:t xml:space="preserve">, with involvement of the </w:t>
      </w:r>
      <w:proofErr w:type="gramStart"/>
      <w:r w:rsidR="00645931">
        <w:t>Fair Trade</w:t>
      </w:r>
      <w:proofErr w:type="gramEnd"/>
      <w:r w:rsidR="00645931">
        <w:t xml:space="preserve"> movement.</w:t>
      </w:r>
    </w:p>
    <w:p w14:paraId="3A7E578C" w14:textId="1BF167E9" w:rsidR="00752A2C" w:rsidRDefault="00752A2C" w:rsidP="00752A2C">
      <w:pPr>
        <w:jc w:val="both"/>
      </w:pPr>
    </w:p>
    <w:p w14:paraId="712F5056" w14:textId="502280A4" w:rsidR="00752A2C" w:rsidRPr="00F664C5" w:rsidRDefault="00752A2C" w:rsidP="00297A0E">
      <w:pPr>
        <w:jc w:val="both"/>
        <w:rPr>
          <w:b/>
          <w:bCs/>
        </w:rPr>
      </w:pPr>
      <w:r w:rsidRPr="00752A2C">
        <w:rPr>
          <w:b/>
          <w:bCs/>
        </w:rPr>
        <w:t>Specific needs</w:t>
      </w:r>
    </w:p>
    <w:p w14:paraId="438A9AE8" w14:textId="22770F6D" w:rsidR="00752A2C" w:rsidRDefault="00752A2C" w:rsidP="00752A2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F664C5">
        <w:rPr>
          <w:b/>
          <w:bCs/>
        </w:rPr>
        <w:t>Fair and sustainable supply chain</w:t>
      </w:r>
      <w:r w:rsidR="00D30B91">
        <w:rPr>
          <w:b/>
          <w:bCs/>
        </w:rPr>
        <w:t>s in the Textile and in the Cocoa sector</w:t>
      </w:r>
    </w:p>
    <w:p w14:paraId="6804445A" w14:textId="6DE3CF84" w:rsidR="00D30B91" w:rsidRDefault="001A3AB4" w:rsidP="001A3AB4">
      <w:pPr>
        <w:jc w:val="both"/>
      </w:pPr>
      <w:r w:rsidRPr="001A3AB4">
        <w:t xml:space="preserve">In the short term, the area of work in which FTAO requires support is the promotion of fair and sustainable </w:t>
      </w:r>
      <w:r w:rsidR="00D30B91">
        <w:t>supply chains in the textile and in the cocoa sector</w:t>
      </w:r>
      <w:r w:rsidRPr="001A3AB4">
        <w:t xml:space="preserve">. </w:t>
      </w:r>
    </w:p>
    <w:p w14:paraId="35940F3C" w14:textId="06BF2F1A" w:rsidR="001A3AB4" w:rsidRPr="001A3AB4" w:rsidRDefault="001A3AB4" w:rsidP="001A3AB4">
      <w:pPr>
        <w:jc w:val="both"/>
      </w:pPr>
      <w:r w:rsidRPr="001A3AB4">
        <w:t xml:space="preserve">These support activities concern the FTAO as such, but also support and advice to National </w:t>
      </w:r>
      <w:proofErr w:type="gramStart"/>
      <w:r w:rsidRPr="001A3AB4">
        <w:t>Fair Trade</w:t>
      </w:r>
      <w:proofErr w:type="gramEnd"/>
      <w:r w:rsidRPr="001A3AB4">
        <w:t xml:space="preserve"> Organizations and other partners.</w:t>
      </w:r>
    </w:p>
    <w:p w14:paraId="661BD4ED" w14:textId="4B449F8E" w:rsidR="005F6D7F" w:rsidRDefault="00752A2C" w:rsidP="00297A0E">
      <w:pPr>
        <w:jc w:val="both"/>
      </w:pPr>
      <w:r>
        <w:t xml:space="preserve">In </w:t>
      </w:r>
      <w:r w:rsidR="001A3AB4">
        <w:t>particular,</w:t>
      </w:r>
      <w:r>
        <w:t xml:space="preserve"> the FTAO will require support of the consultant in the following:</w:t>
      </w:r>
    </w:p>
    <w:p w14:paraId="7BA7A3E5" w14:textId="09460E1D" w:rsidR="00752A2C" w:rsidRDefault="00752A2C" w:rsidP="00752A2C">
      <w:pPr>
        <w:pStyle w:val="ListParagraph"/>
        <w:numPr>
          <w:ilvl w:val="0"/>
          <w:numId w:val="10"/>
        </w:numPr>
        <w:jc w:val="both"/>
      </w:pPr>
      <w:r>
        <w:t xml:space="preserve">Identification of windows of opportunity for transformation of the EU textile </w:t>
      </w:r>
      <w:r w:rsidR="00D30B91">
        <w:t xml:space="preserve">and cocoa </w:t>
      </w:r>
      <w:r>
        <w:t>sector</w:t>
      </w:r>
      <w:r w:rsidR="00D30B91">
        <w:t>s</w:t>
      </w:r>
      <w:r>
        <w:t>. In particular helping the FTAO and/or its partners understand what is the expected timeline and process that the Commission will follow to put together</w:t>
      </w:r>
      <w:r w:rsidR="00D30B91">
        <w:t xml:space="preserve"> relevant legislative processes (</w:t>
      </w:r>
      <w:r>
        <w:t>comprehensive textile strategy</w:t>
      </w:r>
      <w:r w:rsidR="00D30B91">
        <w:t xml:space="preserve"> in the case of textiles and, in the case of cocoa: regulation on deforestation, voluntary partnership agreements with producer countries, and sectoral guidelines for human rights due diligence)</w:t>
      </w:r>
      <w:r w:rsidR="00D038C4">
        <w:t xml:space="preserve"> and ongoing monitoring and information on new developments.</w:t>
      </w:r>
    </w:p>
    <w:p w14:paraId="5741B224" w14:textId="77777777" w:rsidR="00D30B91" w:rsidRDefault="00D30B91" w:rsidP="001354EC">
      <w:pPr>
        <w:pStyle w:val="ListParagraph"/>
        <w:jc w:val="both"/>
      </w:pPr>
    </w:p>
    <w:p w14:paraId="69477DAD" w14:textId="33B225FF" w:rsidR="00752A2C" w:rsidRDefault="00752A2C" w:rsidP="00752A2C">
      <w:pPr>
        <w:pStyle w:val="ListParagraph"/>
        <w:numPr>
          <w:ilvl w:val="0"/>
          <w:numId w:val="10"/>
        </w:numPr>
        <w:jc w:val="both"/>
      </w:pPr>
      <w:r>
        <w:t xml:space="preserve">Identification of key targets, and support in identifying the means to reach them </w:t>
      </w:r>
    </w:p>
    <w:p w14:paraId="54687962" w14:textId="77777777" w:rsidR="00D30B91" w:rsidRDefault="00D30B91" w:rsidP="001354EC">
      <w:pPr>
        <w:pStyle w:val="ListParagraph"/>
        <w:jc w:val="both"/>
      </w:pPr>
    </w:p>
    <w:p w14:paraId="39CA9B79" w14:textId="3D527C40" w:rsidR="00D30B91" w:rsidRDefault="00752A2C" w:rsidP="00DA22DA">
      <w:pPr>
        <w:pStyle w:val="ListParagraph"/>
        <w:numPr>
          <w:ilvl w:val="0"/>
          <w:numId w:val="10"/>
        </w:numPr>
        <w:jc w:val="both"/>
      </w:pPr>
      <w:r>
        <w:lastRenderedPageBreak/>
        <w:t xml:space="preserve">Support in the development of an advocacy strategy, in the initial phase of the </w:t>
      </w:r>
      <w:proofErr w:type="gramStart"/>
      <w:r>
        <w:t xml:space="preserve">process </w:t>
      </w:r>
      <w:r w:rsidR="00DA22DA">
        <w:t xml:space="preserve"> </w:t>
      </w:r>
      <w:r>
        <w:t>and</w:t>
      </w:r>
      <w:proofErr w:type="gramEnd"/>
      <w:r>
        <w:t xml:space="preserve"> </w:t>
      </w:r>
      <w:r w:rsidR="00902B15">
        <w:t xml:space="preserve">the definition of advocacy activities and ongoing review  and </w:t>
      </w:r>
      <w:r w:rsidR="00DA22DA">
        <w:t>support in the implementation of advocacy steps</w:t>
      </w:r>
      <w:r w:rsidR="00902B15">
        <w:t>.</w:t>
      </w:r>
    </w:p>
    <w:p w14:paraId="781AD393" w14:textId="77777777" w:rsidR="00DA22DA" w:rsidRDefault="00DA22DA" w:rsidP="001354EC">
      <w:pPr>
        <w:pStyle w:val="ListParagraph"/>
        <w:jc w:val="both"/>
      </w:pPr>
    </w:p>
    <w:p w14:paraId="71B70ECF" w14:textId="20756F9B" w:rsidR="00752A2C" w:rsidRDefault="00752A2C" w:rsidP="00752A2C">
      <w:pPr>
        <w:pStyle w:val="ListParagraph"/>
        <w:numPr>
          <w:ilvl w:val="0"/>
          <w:numId w:val="10"/>
        </w:numPr>
        <w:jc w:val="both"/>
      </w:pPr>
      <w:r>
        <w:t>Supporting the FTAO (</w:t>
      </w:r>
      <w:r w:rsidR="00645931">
        <w:t>and</w:t>
      </w:r>
      <w:r>
        <w:t xml:space="preserve"> national organizations </w:t>
      </w:r>
      <w:r w:rsidR="00645931">
        <w:t xml:space="preserve">members of the </w:t>
      </w:r>
      <w:proofErr w:type="gramStart"/>
      <w:r w:rsidR="00645931">
        <w:t>Fair Trade</w:t>
      </w:r>
      <w:proofErr w:type="gramEnd"/>
      <w:r w:rsidR="00645931">
        <w:t xml:space="preserve"> movement, as well as other organisations </w:t>
      </w:r>
      <w:r>
        <w:t>with whom the FTAO collaborates</w:t>
      </w:r>
      <w:r w:rsidR="00645931">
        <w:t>, where relevant</w:t>
      </w:r>
      <w:r>
        <w:t>) in developing speaking points, or background documents for meetings of conferences in which we might participate.</w:t>
      </w:r>
    </w:p>
    <w:p w14:paraId="3AA945E6" w14:textId="248FE392" w:rsidR="009C3DE8" w:rsidRDefault="009C3DE8" w:rsidP="00297A0E">
      <w:pPr>
        <w:jc w:val="both"/>
        <w:rPr>
          <w:b/>
          <w:bCs/>
        </w:rPr>
      </w:pPr>
    </w:p>
    <w:p w14:paraId="3F1A10AF" w14:textId="018BE98D" w:rsidR="00BC6ED0" w:rsidRPr="00752A2C" w:rsidRDefault="00F664C5" w:rsidP="00752A2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Other areas of work</w:t>
      </w:r>
    </w:p>
    <w:p w14:paraId="1B8B2A77" w14:textId="77777777" w:rsidR="00F664C5" w:rsidRDefault="00F664C5" w:rsidP="00F664C5">
      <w:pPr>
        <w:jc w:val="both"/>
      </w:pPr>
      <w:r>
        <w:t xml:space="preserve">Other areas in which the FTAO might </w:t>
      </w:r>
      <w:r w:rsidRPr="00F664C5">
        <w:t xml:space="preserve">request assistance from </w:t>
      </w:r>
      <w:r>
        <w:t>the consultant</w:t>
      </w:r>
      <w:r w:rsidRPr="00F664C5">
        <w:t xml:space="preserve"> </w:t>
      </w:r>
      <w:r>
        <w:t>are the following:</w:t>
      </w:r>
    </w:p>
    <w:p w14:paraId="201215D2" w14:textId="4D144A9D" w:rsidR="00F664C5" w:rsidRDefault="00F664C5" w:rsidP="00F664C5">
      <w:pPr>
        <w:pStyle w:val="ListParagraph"/>
        <w:numPr>
          <w:ilvl w:val="0"/>
          <w:numId w:val="14"/>
        </w:numPr>
        <w:jc w:val="both"/>
      </w:pPr>
      <w:r>
        <w:t>Co</w:t>
      </w:r>
      <w:r w:rsidR="00645931">
        <w:t>a</w:t>
      </w:r>
      <w:r>
        <w:t xml:space="preserve">ching and advice to enable FTAO and/or its partners to understand EU regulatory processes other than those related to textile, and the dynamics of the EU institutions and inter-institutional negotiations in files that are relevant to the FTAO. </w:t>
      </w:r>
      <w:proofErr w:type="gramStart"/>
      <w:r>
        <w:t>In particular, we</w:t>
      </w:r>
      <w:proofErr w:type="gramEnd"/>
      <w:r>
        <w:t xml:space="preserve"> can expect to identify needs related to unfair trading practices, public procurement, policies to promote fair trade, competition policy, human rights due diligence. </w:t>
      </w:r>
    </w:p>
    <w:p w14:paraId="1C875B4E" w14:textId="77777777" w:rsidR="00D30B91" w:rsidRDefault="00D30B91" w:rsidP="001354EC">
      <w:pPr>
        <w:pStyle w:val="ListParagraph"/>
        <w:jc w:val="both"/>
      </w:pPr>
    </w:p>
    <w:p w14:paraId="1348D7AE" w14:textId="12DC410F" w:rsidR="00F664C5" w:rsidRPr="00F664C5" w:rsidRDefault="00F664C5" w:rsidP="00297A0E">
      <w:pPr>
        <w:pStyle w:val="ListParagraph"/>
        <w:numPr>
          <w:ilvl w:val="0"/>
          <w:numId w:val="14"/>
        </w:numPr>
        <w:jc w:val="both"/>
      </w:pPr>
      <w:r>
        <w:t xml:space="preserve">Organization and participation </w:t>
      </w:r>
      <w:r w:rsidR="00D30B91">
        <w:t xml:space="preserve">in </w:t>
      </w:r>
      <w:r>
        <w:t xml:space="preserve">capacity building webinars that the FTAO considers necessary for its partners and/or National </w:t>
      </w:r>
      <w:proofErr w:type="gramStart"/>
      <w:r>
        <w:t>Fair Trade</w:t>
      </w:r>
      <w:proofErr w:type="gramEnd"/>
      <w:r>
        <w:t xml:space="preserve"> Organizations.</w:t>
      </w:r>
    </w:p>
    <w:p w14:paraId="43847B76" w14:textId="77777777" w:rsidR="00F664C5" w:rsidRDefault="00F664C5" w:rsidP="00297A0E">
      <w:pPr>
        <w:jc w:val="both"/>
        <w:rPr>
          <w:b/>
          <w:bCs/>
        </w:rPr>
      </w:pPr>
    </w:p>
    <w:p w14:paraId="20B5F130" w14:textId="205DA4B5" w:rsidR="009C3DE8" w:rsidRPr="009C3DE8" w:rsidRDefault="009C3DE8" w:rsidP="00297A0E">
      <w:pPr>
        <w:jc w:val="both"/>
        <w:rPr>
          <w:b/>
          <w:bCs/>
        </w:rPr>
      </w:pPr>
      <w:r w:rsidRPr="009C3DE8">
        <w:rPr>
          <w:b/>
          <w:bCs/>
        </w:rPr>
        <w:t>Timeframe</w:t>
      </w:r>
    </w:p>
    <w:p w14:paraId="7EE9D271" w14:textId="1A4B4438" w:rsidR="005F6D7F" w:rsidRDefault="009C3DE8" w:rsidP="00297A0E">
      <w:pPr>
        <w:jc w:val="both"/>
      </w:pPr>
      <w:r>
        <w:t>The services shall be offered between the day of the signature of the contract and the 31</w:t>
      </w:r>
      <w:r w:rsidRPr="009C3DE8">
        <w:rPr>
          <w:vertAlign w:val="superscript"/>
        </w:rPr>
        <w:t>st</w:t>
      </w:r>
      <w:r>
        <w:t xml:space="preserve"> August 2020. </w:t>
      </w:r>
    </w:p>
    <w:p w14:paraId="276C49D5" w14:textId="00E29C8D" w:rsidR="00F664C5" w:rsidRPr="00F664C5" w:rsidRDefault="00F664C5" w:rsidP="00297A0E">
      <w:pPr>
        <w:jc w:val="both"/>
        <w:rPr>
          <w:b/>
          <w:bCs/>
        </w:rPr>
      </w:pPr>
      <w:r w:rsidRPr="00F664C5">
        <w:rPr>
          <w:b/>
          <w:bCs/>
        </w:rPr>
        <w:t>Outputs</w:t>
      </w:r>
    </w:p>
    <w:p w14:paraId="109C7C35" w14:textId="1E274448" w:rsidR="00F664C5" w:rsidRDefault="00F664C5" w:rsidP="00297A0E">
      <w:pPr>
        <w:jc w:val="both"/>
      </w:pPr>
      <w:r>
        <w:t>During the duration of the contract the FTAO will request on written services in line with what has been described abov</w:t>
      </w:r>
      <w:r w:rsidR="00902B15">
        <w:t xml:space="preserve">e. </w:t>
      </w:r>
    </w:p>
    <w:p w14:paraId="0F03960E" w14:textId="77777777" w:rsidR="00F664C5" w:rsidRDefault="00F664C5" w:rsidP="00297A0E">
      <w:pPr>
        <w:jc w:val="both"/>
      </w:pPr>
    </w:p>
    <w:p w14:paraId="429A9B0F" w14:textId="75989089" w:rsidR="00F664C5" w:rsidRDefault="00F664C5" w:rsidP="00297A0E">
      <w:pPr>
        <w:jc w:val="both"/>
        <w:rPr>
          <w:b/>
          <w:bCs/>
        </w:rPr>
      </w:pPr>
      <w:r>
        <w:rPr>
          <w:b/>
          <w:bCs/>
        </w:rPr>
        <w:t>Visibility requirements</w:t>
      </w:r>
    </w:p>
    <w:p w14:paraId="78EDCF34" w14:textId="74807EAF" w:rsidR="00F664C5" w:rsidRDefault="00F664C5" w:rsidP="00297A0E">
      <w:pPr>
        <w:jc w:val="both"/>
        <w:rPr>
          <w:sz w:val="20"/>
          <w:szCs w:val="20"/>
        </w:rPr>
      </w:pPr>
      <w:r w:rsidRPr="00F664C5">
        <w:t xml:space="preserve">Any output produced by the consultant will carry the EU logo and the Trade Fair Live Fair logos and the standard disclaimer text: “this </w:t>
      </w:r>
      <w:r w:rsidRPr="00F664C5">
        <w:rPr>
          <w:sz w:val="20"/>
          <w:szCs w:val="20"/>
        </w:rPr>
        <w:t xml:space="preserve">[document] has been produced with the financial support of the European Union. The contents of this document are the sole responsibility of the </w:t>
      </w:r>
      <w:proofErr w:type="gramStart"/>
      <w:r w:rsidRPr="00F664C5">
        <w:rPr>
          <w:sz w:val="20"/>
          <w:szCs w:val="20"/>
        </w:rPr>
        <w:t>Fair Trade</w:t>
      </w:r>
      <w:proofErr w:type="gramEnd"/>
      <w:r w:rsidRPr="00F664C5">
        <w:rPr>
          <w:sz w:val="20"/>
          <w:szCs w:val="20"/>
        </w:rPr>
        <w:t xml:space="preserve"> Advocacy Office and can in no way be taken to reflect the view of the European Union”</w:t>
      </w:r>
    </w:p>
    <w:p w14:paraId="0088FDAF" w14:textId="77777777" w:rsidR="00F664C5" w:rsidRPr="00F664C5" w:rsidRDefault="00F664C5" w:rsidP="00297A0E">
      <w:pPr>
        <w:jc w:val="both"/>
        <w:rPr>
          <w:sz w:val="20"/>
          <w:szCs w:val="20"/>
        </w:rPr>
      </w:pPr>
    </w:p>
    <w:p w14:paraId="22AC7EB4" w14:textId="13D54F23" w:rsidR="004E3A7D" w:rsidRPr="009C3DE8" w:rsidRDefault="004E3A7D" w:rsidP="00297A0E">
      <w:pPr>
        <w:jc w:val="both"/>
        <w:rPr>
          <w:b/>
          <w:bCs/>
        </w:rPr>
      </w:pPr>
      <w:r w:rsidRPr="009C3DE8">
        <w:rPr>
          <w:b/>
          <w:bCs/>
        </w:rPr>
        <w:t>Preliminary budget</w:t>
      </w:r>
    </w:p>
    <w:p w14:paraId="7949A2CA" w14:textId="63734B55" w:rsidR="004E3A7D" w:rsidRPr="004E3A7D" w:rsidRDefault="009C3DE8" w:rsidP="00297A0E">
      <w:pPr>
        <w:jc w:val="both"/>
      </w:pPr>
      <w:r>
        <w:t xml:space="preserve">The </w:t>
      </w:r>
      <w:r w:rsidR="00297A0E">
        <w:t xml:space="preserve">available budget for this service is </w:t>
      </w:r>
      <w:r>
        <w:t xml:space="preserve">EUR </w:t>
      </w:r>
      <w:r w:rsidR="00645931">
        <w:t>12</w:t>
      </w:r>
      <w:r>
        <w:t>.000</w:t>
      </w:r>
      <w:r w:rsidR="00D038C4">
        <w:t xml:space="preserve"> VAT </w:t>
      </w:r>
      <w:r w:rsidR="00297A0E" w:rsidRPr="00D038C4">
        <w:t>inclusive of 19% VAT. 19% VAT is applicable to all organizations. Offers without 19% VAT will not be considered</w:t>
      </w:r>
    </w:p>
    <w:p w14:paraId="5B5E30FE" w14:textId="478A76CF" w:rsidR="004E3A7D" w:rsidRPr="004E3A7D" w:rsidRDefault="004E3A7D" w:rsidP="004E3A7D"/>
    <w:p w14:paraId="7C18DC67" w14:textId="625526B4" w:rsidR="00BC6ED0" w:rsidRPr="00BC6ED0" w:rsidRDefault="00BC6ED0" w:rsidP="004E3A7D">
      <w:pPr>
        <w:rPr>
          <w:b/>
          <w:bCs/>
        </w:rPr>
      </w:pPr>
      <w:r w:rsidRPr="00BC6ED0">
        <w:rPr>
          <w:b/>
          <w:bCs/>
        </w:rPr>
        <w:t>Application process</w:t>
      </w:r>
      <w:r>
        <w:rPr>
          <w:b/>
          <w:bCs/>
        </w:rPr>
        <w:t xml:space="preserve"> and r</w:t>
      </w:r>
      <w:r w:rsidRPr="00BC6ED0">
        <w:rPr>
          <w:b/>
          <w:bCs/>
        </w:rPr>
        <w:t>equired documents</w:t>
      </w:r>
    </w:p>
    <w:p w14:paraId="4FF2E3C5" w14:textId="1A29F2DF" w:rsidR="00BC6ED0" w:rsidRDefault="00BC6ED0" w:rsidP="00BC6ED0">
      <w:pPr>
        <w:pStyle w:val="ListParagraph"/>
        <w:numPr>
          <w:ilvl w:val="0"/>
          <w:numId w:val="7"/>
        </w:numPr>
      </w:pPr>
      <w:r>
        <w:lastRenderedPageBreak/>
        <w:t xml:space="preserve">Interested parties are encouraged to send their proposals by </w:t>
      </w:r>
      <w:r w:rsidR="00763213" w:rsidRPr="00763213">
        <w:t>June</w:t>
      </w:r>
      <w:r w:rsidRPr="00763213">
        <w:t xml:space="preserve"> </w:t>
      </w:r>
      <w:r w:rsidR="0095754D">
        <w:t>7</w:t>
      </w:r>
      <w:r w:rsidRPr="00763213">
        <w:t>th 2020</w:t>
      </w:r>
      <w:r>
        <w:t xml:space="preserve">. </w:t>
      </w:r>
    </w:p>
    <w:p w14:paraId="25FCCAAD" w14:textId="2828D675" w:rsidR="004E3A7D" w:rsidRDefault="00BC6ED0" w:rsidP="00BC6ED0">
      <w:pPr>
        <w:pStyle w:val="ListParagraph"/>
        <w:numPr>
          <w:ilvl w:val="0"/>
          <w:numId w:val="7"/>
        </w:numPr>
      </w:pPr>
      <w:r>
        <w:t>CVs of the consultant(s)</w:t>
      </w:r>
    </w:p>
    <w:p w14:paraId="41B8176D" w14:textId="2676387A" w:rsidR="00BC6ED0" w:rsidRDefault="00BC6ED0" w:rsidP="00BC6ED0">
      <w:pPr>
        <w:pStyle w:val="ListParagraph"/>
        <w:numPr>
          <w:ilvl w:val="0"/>
          <w:numId w:val="7"/>
        </w:numPr>
      </w:pPr>
      <w:r>
        <w:t>Evidence of previous consultancy projects undertaken</w:t>
      </w:r>
    </w:p>
    <w:p w14:paraId="03306B40" w14:textId="61AEEB8D" w:rsidR="00BC6ED0" w:rsidRPr="004E3A7D" w:rsidRDefault="00F664C5" w:rsidP="00BC6ED0">
      <w:pPr>
        <w:pStyle w:val="ListParagraph"/>
        <w:numPr>
          <w:ilvl w:val="0"/>
          <w:numId w:val="7"/>
        </w:numPr>
      </w:pPr>
      <w:r>
        <w:t>Price per hour of consultancy service or coaching</w:t>
      </w:r>
    </w:p>
    <w:sectPr w:rsidR="00BC6ED0" w:rsidRPr="004E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749"/>
    <w:multiLevelType w:val="hybridMultilevel"/>
    <w:tmpl w:val="E25C9D4A"/>
    <w:lvl w:ilvl="0" w:tplc="286AF6C0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B7EC2"/>
    <w:multiLevelType w:val="hybridMultilevel"/>
    <w:tmpl w:val="39E0B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01C5"/>
    <w:multiLevelType w:val="hybridMultilevel"/>
    <w:tmpl w:val="089EE64E"/>
    <w:lvl w:ilvl="0" w:tplc="7464C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C0AF0"/>
    <w:multiLevelType w:val="hybridMultilevel"/>
    <w:tmpl w:val="939A0A3C"/>
    <w:lvl w:ilvl="0" w:tplc="6928AD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D0022"/>
    <w:multiLevelType w:val="hybridMultilevel"/>
    <w:tmpl w:val="D0F023FC"/>
    <w:lvl w:ilvl="0" w:tplc="6928A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6EA4"/>
    <w:multiLevelType w:val="hybridMultilevel"/>
    <w:tmpl w:val="D520EE2C"/>
    <w:lvl w:ilvl="0" w:tplc="26E6CC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535DF5"/>
    <w:multiLevelType w:val="multilevel"/>
    <w:tmpl w:val="8A1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A3F93"/>
    <w:multiLevelType w:val="hybridMultilevel"/>
    <w:tmpl w:val="C5B43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6512"/>
    <w:multiLevelType w:val="hybridMultilevel"/>
    <w:tmpl w:val="FB8850EE"/>
    <w:lvl w:ilvl="0" w:tplc="CFC097E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4B2507"/>
    <w:multiLevelType w:val="hybridMultilevel"/>
    <w:tmpl w:val="755CE99E"/>
    <w:lvl w:ilvl="0" w:tplc="9E12BB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8320B"/>
    <w:multiLevelType w:val="hybridMultilevel"/>
    <w:tmpl w:val="28DA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B7B12"/>
    <w:multiLevelType w:val="hybridMultilevel"/>
    <w:tmpl w:val="886AB218"/>
    <w:lvl w:ilvl="0" w:tplc="9E12BB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9631E6"/>
    <w:multiLevelType w:val="hybridMultilevel"/>
    <w:tmpl w:val="F15285C0"/>
    <w:lvl w:ilvl="0" w:tplc="9E12BB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A"/>
    <w:rsid w:val="001354EC"/>
    <w:rsid w:val="001A3AB4"/>
    <w:rsid w:val="00235207"/>
    <w:rsid w:val="00297A0E"/>
    <w:rsid w:val="003174FD"/>
    <w:rsid w:val="004E3A7D"/>
    <w:rsid w:val="00545577"/>
    <w:rsid w:val="005A3790"/>
    <w:rsid w:val="005F6D7F"/>
    <w:rsid w:val="00645931"/>
    <w:rsid w:val="006F45BF"/>
    <w:rsid w:val="00752A2C"/>
    <w:rsid w:val="00763213"/>
    <w:rsid w:val="00835E7D"/>
    <w:rsid w:val="0083793F"/>
    <w:rsid w:val="00902B15"/>
    <w:rsid w:val="00904700"/>
    <w:rsid w:val="0095754D"/>
    <w:rsid w:val="009C3DE8"/>
    <w:rsid w:val="00AA29ED"/>
    <w:rsid w:val="00BB1BCF"/>
    <w:rsid w:val="00BC6ED0"/>
    <w:rsid w:val="00C12268"/>
    <w:rsid w:val="00D038C4"/>
    <w:rsid w:val="00D30B91"/>
    <w:rsid w:val="00DA22DA"/>
    <w:rsid w:val="00F6406A"/>
    <w:rsid w:val="00F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2D27"/>
  <w15:chartTrackingRefBased/>
  <w15:docId w15:val="{B6AD3A1E-F3C3-4B64-8CEA-5E2EEBB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6A"/>
    <w:pPr>
      <w:ind w:left="720"/>
      <w:contextualSpacing/>
    </w:pPr>
  </w:style>
  <w:style w:type="paragraph" w:customStyle="1" w:styleId="gmail-m3855925048252539252msolistparagraph">
    <w:name w:val="gmail-m_3855925048252539252msolistparagraph"/>
    <w:basedOn w:val="Normal"/>
    <w:rsid w:val="004E3A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F6D7F"/>
    <w:rPr>
      <w:color w:val="0563C1"/>
      <w:u w:val="single"/>
    </w:rPr>
  </w:style>
  <w:style w:type="table" w:styleId="TableGrid">
    <w:name w:val="Table Grid"/>
    <w:basedOn w:val="TableNormal"/>
    <w:uiPriority w:val="39"/>
    <w:rsid w:val="00BC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37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01982C3630489BC86DC17A2FED13" ma:contentTypeVersion="12" ma:contentTypeDescription="Create a new document." ma:contentTypeScope="" ma:versionID="592a6117f6ea21205cad22114e67eacd">
  <xsd:schema xmlns:xsd="http://www.w3.org/2001/XMLSchema" xmlns:xs="http://www.w3.org/2001/XMLSchema" xmlns:p="http://schemas.microsoft.com/office/2006/metadata/properties" xmlns:ns2="eb79d2ca-901a-436c-8719-6fefd58bc4c1" xmlns:ns3="6a23c07a-03e1-4030-915d-476d98d4f1d3" targetNamespace="http://schemas.microsoft.com/office/2006/metadata/properties" ma:root="true" ma:fieldsID="bd292a5c775034a2d65aa7bce0754fdd" ns2:_="" ns3:_="">
    <xsd:import namespace="eb79d2ca-901a-436c-8719-6fefd58bc4c1"/>
    <xsd:import namespace="6a23c07a-03e1-4030-915d-476d98d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d2ca-901a-436c-8719-6fefd58b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c07a-03e1-4030-915d-476d98d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CE8F1-92CC-47AC-BEF9-45C4E64FCAB2}">
  <ds:schemaRefs>
    <ds:schemaRef ds:uri="6a23c07a-03e1-4030-915d-476d98d4f1d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eb79d2ca-901a-436c-8719-6fefd58bc4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F0DED7-AC0F-4353-A3E1-FC4D2EF0A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F7D15-7170-4D50-B3A8-9CDF13A4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9d2ca-901a-436c-8719-6fefd58bc4c1"/>
    <ds:schemaRef ds:uri="6a23c07a-03e1-4030-915d-476d98d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Conesa</dc:creator>
  <cp:keywords/>
  <dc:description/>
  <cp:lastModifiedBy>Jorge Conesa</cp:lastModifiedBy>
  <cp:revision>2</cp:revision>
  <dcterms:created xsi:type="dcterms:W3CDTF">2020-06-29T12:57:00Z</dcterms:created>
  <dcterms:modified xsi:type="dcterms:W3CDTF">2020-06-29T12:57:00Z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0x0101001D8601982C3630489BC86DC17A2FED13</vt:lpwstr>
  </property>
</Properties>
</file>